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left="0" w:right="0" w:hanging="0"/>
        <w:jc w:val="right"/>
        <w:rPr>
          <w:rFonts w:ascii="Times New Roman" w:hAnsi="Times New Roman" w:cs="Arial"/>
          <w:sz w:val="24"/>
          <w:szCs w:val="24"/>
          <w:lang w:val="ru-RU"/>
        </w:rPr>
      </w:pPr>
      <w:r>
        <w:rPr>
          <w:rFonts w:cs="Arial" w:ascii="Times New Roman" w:hAnsi="Times New Roman"/>
          <w:sz w:val="24"/>
          <w:szCs w:val="24"/>
          <w:lang w:val="ru-RU"/>
        </w:rPr>
        <w:t>Приложение №3</w:t>
      </w:r>
    </w:p>
    <w:p>
      <w:pPr>
        <w:pStyle w:val="Normal"/>
        <w:spacing w:lineRule="auto" w:line="240" w:before="0" w:after="29"/>
        <w:ind w:left="0" w:right="0" w:hanging="0"/>
        <w:jc w:val="right"/>
        <w:rPr/>
      </w:pPr>
      <w:r>
        <w:rPr>
          <w:rFonts w:cs="Arial" w:ascii="Times New Roman" w:hAnsi="Times New Roman"/>
          <w:sz w:val="24"/>
          <w:szCs w:val="24"/>
          <w:lang w:val="ru-RU"/>
        </w:rPr>
        <w:t xml:space="preserve">К </w:t>
      </w:r>
      <w:r>
        <w:rPr>
          <w:rFonts w:cs="Arial" w:ascii="Times New Roman" w:hAnsi="Times New Roman"/>
          <w:sz w:val="24"/>
          <w:szCs w:val="24"/>
          <w:lang w:val="ru-RU"/>
        </w:rPr>
        <w:t>проекту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 решения собрания депутатов </w:t>
      </w:r>
    </w:p>
    <w:p>
      <w:pPr>
        <w:pStyle w:val="Normal"/>
        <w:spacing w:lineRule="auto" w:line="240" w:before="0" w:after="29"/>
        <w:ind w:left="0" w:right="0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  <w:lang w:val="ru-RU"/>
        </w:rPr>
        <w:t xml:space="preserve"> </w:t>
      </w:r>
      <w:r>
        <w:rPr>
          <w:rFonts w:cs="Arial" w:ascii="Times New Roman" w:hAnsi="Times New Roman"/>
          <w:sz w:val="24"/>
          <w:szCs w:val="24"/>
          <w:lang w:val="ru-RU"/>
        </w:rPr>
        <w:t>Верхнелюбажского сельсовета Фатежского района                                                      Курской области «О бюджете муниципального</w:t>
      </w:r>
    </w:p>
    <w:p>
      <w:pPr>
        <w:pStyle w:val="Normal"/>
        <w:spacing w:lineRule="auto" w:line="240" w:before="0" w:after="29"/>
        <w:ind w:left="0" w:right="0" w:hanging="0"/>
        <w:jc w:val="right"/>
        <w:rPr>
          <w:rFonts w:ascii="Times New Roman" w:hAnsi="Times New Roman"/>
          <w:sz w:val="24"/>
          <w:szCs w:val="24"/>
        </w:rPr>
      </w:pPr>
      <w:r>
        <w:rPr>
          <w:rFonts w:eastAsia="Arial" w:cs="Arial" w:ascii="Times New Roman" w:hAnsi="Times New Roman"/>
          <w:sz w:val="24"/>
          <w:szCs w:val="24"/>
          <w:lang w:val="ru-RU"/>
        </w:rPr>
        <w:t xml:space="preserve">  </w:t>
      </w:r>
      <w:r>
        <w:rPr>
          <w:rFonts w:cs="Arial" w:ascii="Times New Roman" w:hAnsi="Times New Roman"/>
          <w:sz w:val="24"/>
          <w:szCs w:val="24"/>
          <w:lang w:val="ru-RU"/>
        </w:rPr>
        <w:t>образования «Верхнелюбажский сельсовет»</w:t>
      </w:r>
    </w:p>
    <w:p>
      <w:pPr>
        <w:pStyle w:val="Normal"/>
        <w:spacing w:lineRule="auto" w:line="240" w:before="0" w:after="29"/>
        <w:ind w:left="0" w:right="0" w:hanging="0"/>
        <w:jc w:val="right"/>
        <w:rPr>
          <w:rFonts w:ascii="Times New Roman" w:hAnsi="Times New Roman" w:cs="Arial"/>
          <w:sz w:val="24"/>
          <w:szCs w:val="24"/>
          <w:lang w:val="ru-RU"/>
        </w:rPr>
      </w:pPr>
      <w:r>
        <w:rPr>
          <w:rFonts w:cs="Arial" w:ascii="Times New Roman" w:hAnsi="Times New Roman"/>
          <w:sz w:val="24"/>
          <w:szCs w:val="24"/>
          <w:lang w:val="ru-RU"/>
        </w:rPr>
        <w:t xml:space="preserve">Фатежского района Курской области </w:t>
      </w:r>
    </w:p>
    <w:p>
      <w:pPr>
        <w:pStyle w:val="Normal"/>
        <w:spacing w:lineRule="auto" w:line="240" w:before="0" w:after="29"/>
        <w:ind w:left="0" w:right="0" w:hanging="0"/>
        <w:jc w:val="right"/>
        <w:rPr/>
      </w:pPr>
      <w:r>
        <w:rPr>
          <w:rFonts w:cs="Arial" w:ascii="Times New Roman" w:hAnsi="Times New Roman"/>
          <w:sz w:val="24"/>
          <w:szCs w:val="24"/>
          <w:lang w:val="ru-RU"/>
        </w:rPr>
        <w:t>на 20</w:t>
      </w:r>
      <w:r>
        <w:rPr>
          <w:rFonts w:cs="Arial" w:ascii="Times New Roman" w:hAnsi="Times New Roman"/>
          <w:sz w:val="24"/>
          <w:szCs w:val="24"/>
          <w:lang w:val="ru-RU"/>
        </w:rPr>
        <w:t>20</w:t>
      </w:r>
      <w:r>
        <w:rPr>
          <w:rFonts w:cs="Arial" w:ascii="Times New Roman" w:hAnsi="Times New Roman"/>
          <w:sz w:val="24"/>
          <w:szCs w:val="24"/>
          <w:lang w:val="ru-RU"/>
        </w:rPr>
        <w:t>год и плановый период 202</w:t>
      </w:r>
      <w:r>
        <w:rPr>
          <w:rFonts w:cs="Arial" w:ascii="Times New Roman" w:hAnsi="Times New Roman"/>
          <w:sz w:val="24"/>
          <w:szCs w:val="24"/>
          <w:lang w:val="ru-RU"/>
        </w:rPr>
        <w:t>1</w:t>
      </w:r>
      <w:r>
        <w:rPr>
          <w:rFonts w:cs="Arial" w:ascii="Times New Roman" w:hAnsi="Times New Roman"/>
          <w:sz w:val="24"/>
          <w:szCs w:val="24"/>
          <w:lang w:val="ru-RU"/>
        </w:rPr>
        <w:t>-202</w:t>
      </w:r>
      <w:r>
        <w:rPr>
          <w:rFonts w:cs="Arial" w:ascii="Times New Roman" w:hAnsi="Times New Roman"/>
          <w:sz w:val="24"/>
          <w:szCs w:val="24"/>
          <w:lang w:val="ru-RU"/>
        </w:rPr>
        <w:t>2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 годы </w:t>
      </w:r>
    </w:p>
    <w:p>
      <w:pPr>
        <w:pStyle w:val="Normal"/>
        <w:spacing w:lineRule="auto" w:line="240" w:before="0" w:after="29"/>
        <w:ind w:left="0" w:right="0" w:hanging="0"/>
        <w:jc w:val="right"/>
        <w:rPr>
          <w:rFonts w:ascii="Times New Roman" w:hAnsi="Times New Roman" w:cs="Arial"/>
          <w:sz w:val="24"/>
          <w:szCs w:val="24"/>
          <w:lang w:val="ru-RU"/>
        </w:rPr>
      </w:pPr>
      <w:r>
        <w:rPr>
          <w:rFonts w:cs="Arial" w:ascii="Times New Roman" w:hAnsi="Times New Roman"/>
          <w:sz w:val="24"/>
          <w:szCs w:val="24"/>
          <w:lang w:val="ru-RU"/>
        </w:rPr>
      </w:r>
    </w:p>
    <w:p>
      <w:pPr>
        <w:pStyle w:val="Normal"/>
        <w:tabs>
          <w:tab w:val="left" w:pos="9921" w:leader="none"/>
        </w:tabs>
        <w:spacing w:lineRule="auto" w:line="240" w:before="0" w:after="86"/>
        <w:ind w:left="0" w:right="140" w:hanging="0"/>
        <w:jc w:val="center"/>
        <w:rPr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Перечень главных администраторов доходов </w:t>
      </w:r>
    </w:p>
    <w:p>
      <w:pPr>
        <w:pStyle w:val="Normal"/>
        <w:tabs>
          <w:tab w:val="left" w:pos="9921" w:leader="none"/>
        </w:tabs>
        <w:spacing w:lineRule="auto" w:line="240" w:before="0" w:after="86"/>
        <w:ind w:left="0" w:right="140" w:hanging="0"/>
        <w:jc w:val="center"/>
        <w:rPr/>
      </w:pP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Бюджета муниципального образования «Верхнелюбажский  сельсовет»  на 20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20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 и плановый период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1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– 202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годы»</w:t>
      </w:r>
    </w:p>
    <w:p>
      <w:pPr>
        <w:pStyle w:val="Normal"/>
        <w:jc w:val="center"/>
        <w:rPr>
          <w:rFonts w:ascii="Arial" w:hAnsi="Arial" w:cs="Arial"/>
          <w:b/>
          <w:b/>
          <w:bCs/>
          <w:color w:val="000000"/>
          <w:sz w:val="2"/>
          <w:szCs w:val="2"/>
          <w:lang w:val="ru-RU"/>
        </w:rPr>
      </w:pPr>
      <w:r>
        <w:rPr>
          <w:rFonts w:cs="Arial" w:ascii="Arial" w:hAnsi="Arial"/>
          <w:b/>
          <w:bCs/>
          <w:color w:val="000000"/>
          <w:sz w:val="2"/>
          <w:szCs w:val="2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color w:val="000000"/>
          <w:sz w:val="2"/>
          <w:szCs w:val="2"/>
          <w:lang w:val="ru-RU"/>
        </w:rPr>
      </w:pPr>
      <w:r>
        <w:rPr>
          <w:rFonts w:cs="Arial" w:ascii="Arial" w:hAnsi="Arial"/>
          <w:b/>
          <w:bCs/>
          <w:color w:val="000000"/>
          <w:sz w:val="2"/>
          <w:szCs w:val="2"/>
          <w:lang w:val="ru-RU"/>
        </w:rPr>
      </w:r>
    </w:p>
    <w:tbl>
      <w:tblPr>
        <w:tblW w:w="10125" w:type="dxa"/>
        <w:jc w:val="left"/>
        <w:tblInd w:w="-261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2" w:type="dxa"/>
          <w:bottom w:w="55" w:type="dxa"/>
          <w:right w:w="55" w:type="dxa"/>
        </w:tblCellMar>
      </w:tblPr>
      <w:tblGrid>
        <w:gridCol w:w="1080"/>
        <w:gridCol w:w="2608"/>
        <w:gridCol w:w="2"/>
        <w:gridCol w:w="6435"/>
      </w:tblGrid>
      <w:tr>
        <w:trPr/>
        <w:tc>
          <w:tcPr>
            <w:tcW w:w="368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437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 сельского поселения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Доходов местного бюджета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68" w:hRule="atLeast"/>
        </w:trPr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24"/>
              <w:spacing w:before="0" w:after="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24"/>
              <w:spacing w:before="0" w:after="0"/>
              <w:jc w:val="center"/>
              <w:rPr>
                <w:rFonts w:ascii="Times New Roman" w:hAnsi="Times New Roman"/>
                <w:b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Администрация Верхнелюбажского сельсовета Фатежского района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108 04020 01 0000 110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/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108 07175 01 0000 110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/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поселений.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1 11 01050 10 0000 120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jc w:val="both"/>
              <w:rPr/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Доходы в виде прибыли, приходящейся на доли в уставных (складочных) хозяйственных товариществ и обществ, или дивидендов капиталах по акциям, принадлежащим сельским поселениям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1 11 02085 10 0000 120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1 11 03050 10 0000 120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1 11 05025 10 0000 120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111 05027 10 0000 120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Доходы, получаемые в виде арендной платы за земельные участки, расположенные в полосе отвода автомобильных дорог общего пользования, находящихся в собственности сельских поселений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111 05035 10 0000 120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находящегося в опе-ративном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  <w:lang w:val="ru-RU"/>
              </w:rPr>
              <w:t>111 05075 10 0000 120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  <w:lang w:val="ru-RU"/>
              </w:rPr>
              <w:t>111 05093 10 0000 120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1 11 07015 10 0000 120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1 11 08050 10 0000 120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0"/>
              <w:rPr/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1 11 09015 10 0000 120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интел-лектуальной деятельности военного, специального и двойного назначения, находящимися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1 11 09025 10 0000 120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распоряжения правами на результаты научно-технической деятельности, находящимися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1 11 09035 10 0000 120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эксплуатации и использования имущества автомобильных дорог, находящихся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1 11 09045 10 0000 120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112 04051 10 0000 120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использование лесов, расположенных на землях иных категорий, находящихся в собственности сельских поселений, в части платы по договору купли-продажи лесных насаждений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112 04052 10 0000 120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использование лесов, расположенных на землях иных категорий, находящихся в собственности сельских поселений, в части арендной платы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112 05050 10 0000 120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пользование водными объектами, находящимися в собственности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113 01540 10 0000 130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cs="Arial"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199</w:t>
            </w:r>
            <w:r>
              <w:rPr>
                <w:rFonts w:cs="Arial" w:ascii="Times New Roman" w:hAnsi="Times New Roman"/>
                <w:sz w:val="24"/>
                <w:szCs w:val="24"/>
              </w:rPr>
              <w:t>5 10 0000 1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cs="Arial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cs="Arial"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299</w:t>
            </w:r>
            <w:r>
              <w:rPr>
                <w:rFonts w:cs="Arial" w:ascii="Times New Roman" w:hAnsi="Times New Roman"/>
                <w:sz w:val="24"/>
                <w:szCs w:val="24"/>
              </w:rPr>
              <w:t>5 10 0000 1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cs="Arial"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1 14 01050 10 0000 410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1 14 020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cs="Arial" w:ascii="Times New Roman" w:hAnsi="Times New Roman"/>
                <w:sz w:val="24"/>
                <w:szCs w:val="24"/>
              </w:rPr>
              <w:t>2 10 0000 410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 xml:space="preserve">1 14 02052 10 0000 440 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1 14 020</w:t>
            </w: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cs="Arial" w:ascii="Times New Roman" w:hAnsi="Times New Roman"/>
                <w:sz w:val="24"/>
                <w:szCs w:val="24"/>
              </w:rPr>
              <w:t>3 10 0000 410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 xml:space="preserve">1 14 02053 10 0000 440 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1 14 03050 10 0000 410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1 14 03050 10 0000 440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1 14 04050 10 0000 420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114 06025 10 0000 430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  <w:lang w:val="ru-RU"/>
              </w:rPr>
              <w:t>114 06045 10 0000 430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поселений, находящихся в пользовании  бюджетных и автономных учреждений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  <w:lang w:val="ru-RU"/>
              </w:rPr>
              <w:t>114 06325 10 0000 430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1 15 02050 10 0000 140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1 16 18050 10 0000 140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1 16 23051 10 0000 140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выгодоприобретателя-ми выступают получатели средств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1 16 23052 10 0000 140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иных страховых случаев, когда выгодоприобретателями высту-пают получатели средств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1 16 32000 10 0000 140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1 16 33050 10 0000 140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 xml:space="preserve">116 37040 10 0000 140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Поступление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 xml:space="preserve">116 42050 10 0000 140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бюджетных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 xml:space="preserve">116 46000 10 0000 140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Поступление сумм в возмещение ущерба в связи с нарушением исполнителем (подрядчиком) условий государственных контрактов или иных договоров, финансируемых за счет муниципальных дорожных фондов поселений, либо в связи с уклонением от заключения таких контрактов или иных договоров 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CE181E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 xml:space="preserve">116 51040 02 0000 140 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117 02020 10 0000 180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cs="Arial" w:ascii="Times New Roman" w:hAnsi="Times New Roman"/>
                <w:sz w:val="24"/>
                <w:szCs w:val="24"/>
              </w:rPr>
              <w:t>1 17 05050 10 0000 180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Arial" w:ascii="Times New Roman" w:hAnsi="Times New Roman"/>
                <w:color w:val="CE181E"/>
                <w:sz w:val="24"/>
                <w:szCs w:val="24"/>
              </w:rPr>
              <w:t>1 17 14030 10 0000 180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snapToGrid w:val="false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поселений</w:t>
            </w:r>
          </w:p>
        </w:tc>
      </w:tr>
      <w:tr>
        <w:trPr/>
        <w:tc>
          <w:tcPr>
            <w:tcW w:w="108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color w:val="000000"/>
                <w:sz w:val="24"/>
                <w:szCs w:val="24"/>
                <w:lang w:val="ru-RU"/>
              </w:rPr>
              <w:t>001</w:t>
            </w:r>
          </w:p>
        </w:tc>
        <w:tc>
          <w:tcPr>
            <w:tcW w:w="2610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 w:cs="Arial"/>
                <w:sz w:val="24"/>
                <w:szCs w:val="24"/>
                <w:lang w:val="ru-RU"/>
              </w:rPr>
            </w:pPr>
            <w:r>
              <w:rPr>
                <w:rFonts w:cs="Arial" w:ascii="Times New Roman" w:hAnsi="Times New Roman"/>
                <w:sz w:val="24"/>
                <w:szCs w:val="24"/>
                <w:lang w:val="ru-RU"/>
              </w:rPr>
              <w:t>2 00 00000 00 0000 000</w:t>
            </w:r>
          </w:p>
        </w:tc>
        <w:tc>
          <w:tcPr>
            <w:tcW w:w="64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ConsPlusNormal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Безвозмездные поступления**</w:t>
            </w:r>
          </w:p>
        </w:tc>
      </w:tr>
    </w:tbl>
    <w:p>
      <w:pPr>
        <w:pStyle w:val="Normal"/>
        <w:spacing w:lineRule="atLeast" w:line="100" w:before="0" w:after="0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cs="Arial" w:ascii="Arial" w:hAnsi="Arial"/>
          <w:sz w:val="16"/>
          <w:szCs w:val="16"/>
          <w:lang w:val="ru-RU"/>
        </w:rPr>
      </w:r>
    </w:p>
    <w:p>
      <w:pPr>
        <w:pStyle w:val="Normal"/>
        <w:spacing w:lineRule="atLeast" w:line="100" w:before="0" w:after="0"/>
        <w:jc w:val="both"/>
        <w:rPr/>
      </w:pPr>
      <w:r>
        <w:rPr>
          <w:rFonts w:cs="Arial" w:ascii="Arial" w:hAnsi="Arial"/>
          <w:sz w:val="16"/>
          <w:szCs w:val="16"/>
          <w:lang w:val="ru-RU"/>
        </w:rPr>
        <w:t xml:space="preserve">. </w:t>
      </w:r>
      <w:r>
        <w:rPr>
          <w:rFonts w:cs="Arial" w:ascii="Times New Roman" w:hAnsi="Times New Roman"/>
          <w:sz w:val="20"/>
          <w:szCs w:val="20"/>
          <w:lang w:val="ru-RU"/>
        </w:rPr>
        <w:t xml:space="preserve">** Главными администраторами доходов, администраторами доходов по группе доходов «2 00 00000 00 0000 000 Безвозмездные поступления» (в части доходов, зачисляемых в бюджеты поселений) являются уполномоченные органы </w:t>
      </w:r>
      <w:r>
        <w:rPr>
          <w:rFonts w:cs="Arial" w:ascii="Times New Roman" w:hAnsi="Times New Roman"/>
          <w:color w:val="000000"/>
          <w:sz w:val="20"/>
          <w:szCs w:val="20"/>
          <w:lang w:val="ru-RU"/>
        </w:rPr>
        <w:t>местного самоуправления</w:t>
      </w:r>
      <w:r>
        <w:rPr>
          <w:rFonts w:cs="Arial" w:ascii="Times New Roman" w:hAnsi="Times New Roman"/>
          <w:sz w:val="20"/>
          <w:szCs w:val="20"/>
          <w:lang w:val="ru-RU"/>
        </w:rPr>
        <w:t xml:space="preserve">, а также созданные ими казенные учреждения, являющиеся получателями указанных средств. </w:t>
      </w:r>
    </w:p>
    <w:p>
      <w:pPr>
        <w:pStyle w:val="Normal"/>
        <w:spacing w:lineRule="atLeast" w:line="100" w:before="0" w:after="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spacing w:lineRule="atLeast" w:line="100" w:before="0"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/>
        <w:ind w:left="0" w:right="560" w:hanging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200"/>
        <w:ind w:left="0" w:right="560" w:hanging="0"/>
        <w:jc w:val="right"/>
        <w:rPr/>
      </w:pPr>
      <w:r>
        <w:rPr/>
      </w:r>
    </w:p>
    <w:sectPr>
      <w:headerReference w:type="default" r:id="rId2"/>
      <w:type w:val="nextPage"/>
      <w:pgSz w:w="11906" w:h="16838"/>
      <w:pgMar w:left="1701" w:right="850" w:header="1134" w:top="1686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suppressLineNumbers/>
      <w:tabs>
        <w:tab w:val="center" w:pos="4677" w:leader="none"/>
        <w:tab w:val="right" w:pos="9355" w:leader="none"/>
      </w:tabs>
      <w:spacing w:before="0" w:after="200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embedSystemFonts/>
  <w:defaultTabStop w:val="708"/>
  <w:compat>
    <w:doNotExpandShiftReturn/>
  </w:compat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0"/>
        <w:lang w:val="ru-RU" w:eastAsia="ru-RU" w:bidi="ar-SA"/>
      </w:rPr>
    </w:rPrDefault>
    <w:pPrDefault>
      <w:pPr/>
    </w:pPrDefault>
  </w:docDefaults>
  <w:style w:type="paragraph" w:styleId="Normal">
    <w:name w:val="Normal"/>
    <w:qFormat/>
    <w:pPr>
      <w:widowControl/>
      <w:overflowPunct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00000A"/>
      <w:kern w:val="0"/>
      <w:sz w:val="22"/>
      <w:szCs w:val="22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Style14">
    <w:name w:val="Название Знак"/>
    <w:basedOn w:val="DefaultParagraphFont"/>
    <w:qFormat/>
    <w:rPr>
      <w:rFonts w:ascii="Times New Roman" w:hAnsi="Times New Roman"/>
      <w:b/>
      <w:bCs/>
      <w:sz w:val="28"/>
      <w:szCs w:val="28"/>
    </w:rPr>
  </w:style>
  <w:style w:type="character" w:styleId="ListLabel1">
    <w:name w:val="ListLabel 1"/>
    <w:qFormat/>
    <w:rPr>
      <w:rFonts w:ascii="Times New Roman" w:hAnsi="Times New Roman" w:cs="Times New Roman"/>
      <w:sz w:val="28"/>
      <w:szCs w:val="28"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character" w:styleId="ListLabel2">
    <w:name w:val="ListLabel 2"/>
    <w:qFormat/>
    <w:rPr>
      <w:rFonts w:ascii="Times New Roman" w:hAnsi="Times New Roman"/>
      <w:sz w:val="28"/>
      <w:szCs w:val="28"/>
    </w:rPr>
  </w:style>
  <w:style w:type="character" w:styleId="ListLabel3">
    <w:name w:val="ListLabel 3"/>
    <w:qFormat/>
    <w:rPr>
      <w:rFonts w:ascii="Times New Roman" w:hAnsi="Times New Roman" w:cs="Times New Roman"/>
      <w:sz w:val="28"/>
      <w:szCs w:val="28"/>
    </w:rPr>
  </w:style>
  <w:style w:type="character" w:styleId="ListLabel4">
    <w:name w:val="ListLabel 4"/>
    <w:qFormat/>
    <w:rPr>
      <w:rFonts w:ascii="Times New Roman" w:hAnsi="Times New Roman"/>
      <w:sz w:val="28"/>
      <w:szCs w:val="28"/>
    </w:rPr>
  </w:style>
  <w:style w:type="character" w:styleId="ListLabel5">
    <w:name w:val="ListLabel 5"/>
    <w:qFormat/>
    <w:rPr>
      <w:rFonts w:ascii="Times New Roman" w:hAnsi="Times New Roman" w:cs="Times New Roman"/>
      <w:sz w:val="28"/>
      <w:szCs w:val="28"/>
    </w:rPr>
  </w:style>
  <w:style w:type="character" w:styleId="ListLabel6">
    <w:name w:val="ListLabel 6"/>
    <w:qFormat/>
    <w:rPr>
      <w:rFonts w:ascii="Times New Roman" w:hAnsi="Times New Roman"/>
      <w:sz w:val="28"/>
      <w:szCs w:val="28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ConsPlusNormal">
    <w:name w:val="ConsPlusNormal"/>
    <w:qFormat/>
    <w:pPr>
      <w:widowControl w:val="false"/>
      <w:overflowPunct w:val="true"/>
      <w:bidi w:val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Nonformat">
    <w:name w:val="ConsPlusNonformat"/>
    <w:qFormat/>
    <w:pPr>
      <w:widowControl w:val="false"/>
      <w:overflowPunct w:val="tru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overflowPunct w:val="true"/>
      <w:bidi w:val="0"/>
      <w:jc w:val="left"/>
    </w:pPr>
    <w:rPr>
      <w:rFonts w:ascii="Arial" w:hAnsi="Arial" w:eastAsia="Times New Roman" w:cs="Arial"/>
      <w:b/>
      <w:bCs/>
      <w:color w:val="00000A"/>
      <w:kern w:val="0"/>
      <w:sz w:val="22"/>
      <w:szCs w:val="20"/>
      <w:lang w:val="ru-RU" w:eastAsia="ru-RU" w:bidi="ar-SA"/>
    </w:rPr>
  </w:style>
  <w:style w:type="paragraph" w:styleId="ConsPlusCell">
    <w:name w:val="ConsPlusCell"/>
    <w:qFormat/>
    <w:pPr>
      <w:widowControl w:val="false"/>
      <w:overflowPunct w:val="true"/>
      <w:bidi w:val="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ConsPlusDocList">
    <w:name w:val="ConsPlusDocList"/>
    <w:qFormat/>
    <w:pPr>
      <w:widowControl w:val="false"/>
      <w:overflowPunct w:val="true"/>
      <w:bidi w:val="0"/>
      <w:jc w:val="left"/>
    </w:pPr>
    <w:rPr>
      <w:rFonts w:ascii="Courier New" w:hAnsi="Courier New" w:eastAsia="Times New Roman" w:cs="Courier New"/>
      <w:color w:val="00000A"/>
      <w:kern w:val="0"/>
      <w:sz w:val="22"/>
      <w:szCs w:val="20"/>
      <w:lang w:val="ru-RU" w:eastAsia="ru-RU" w:bidi="ar-SA"/>
    </w:rPr>
  </w:style>
  <w:style w:type="paragraph" w:styleId="Style21">
    <w:name w:val="Title"/>
    <w:basedOn w:val="Normal"/>
    <w:qFormat/>
    <w:pPr>
      <w:spacing w:lineRule="auto" w:line="240" w:before="0" w:after="0"/>
      <w:ind w:left="0" w:right="0"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styleId="ConsNormal">
    <w:name w:val="ConsNormal"/>
    <w:qFormat/>
    <w:pPr>
      <w:widowControl w:val="false"/>
      <w:overflowPunct w:val="true"/>
      <w:bidi w:val="0"/>
      <w:ind w:left="0" w:right="0" w:firstLine="720"/>
      <w:jc w:val="left"/>
    </w:pPr>
    <w:rPr>
      <w:rFonts w:ascii="Arial" w:hAnsi="Arial" w:eastAsia="Times New Roman" w:cs="Arial"/>
      <w:color w:val="00000A"/>
      <w:kern w:val="0"/>
      <w:sz w:val="22"/>
      <w:szCs w:val="20"/>
      <w:lang w:val="ru-RU" w:eastAsia="ru-RU" w:bidi="ar-SA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Header"/>
    <w:basedOn w:val="Normal"/>
    <w:pPr>
      <w:suppressLineNumbers/>
      <w:tabs>
        <w:tab w:val="center" w:pos="4677" w:leader="none"/>
        <w:tab w:val="right" w:pos="9355" w:leader="none"/>
      </w:tabs>
    </w:pPr>
    <w:rPr/>
  </w:style>
  <w:style w:type="paragraph" w:styleId="Style24">
    <w:name w:val="Содержимое таблицы"/>
    <w:basedOn w:val="Normal"/>
    <w:qFormat/>
    <w:pPr>
      <w:suppressLineNumbers/>
    </w:pPr>
    <w:rPr/>
  </w:style>
  <w:style w:type="paragraph" w:styleId="Style25">
    <w:name w:val="Заголовок таблицы"/>
    <w:basedOn w:val="Style24"/>
    <w:qFormat/>
    <w:pPr>
      <w:suppressLineNumbers/>
      <w:jc w:val="center"/>
    </w:pPr>
    <w:rPr>
      <w:b/>
      <w:bCs/>
    </w:rPr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Application>LibreOffice/6.0.3.2$Windows_x86 LibreOffice_project/8f48d515416608e3a835360314dac7e47fd0b821</Application>
  <Pages>5</Pages>
  <Words>1387</Words>
  <Characters>9050</Characters>
  <CharactersWithSpaces>10350</CharactersWithSpaces>
  <Paragraphs>164</Paragraphs>
  <Company>Grizli777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2019-09-03T11:28:00Z</dcterms:created>
  <dc:creator>ConsultantPlus</dc:creator>
  <dc:description/>
  <dc:language>ru-RU</dc:language>
  <cp:lastModifiedBy/>
  <dcterms:modified xsi:type="dcterms:W3CDTF">2019-10-17T16:01:26Z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